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48" w:type="dxa"/>
        <w:jc w:val="center"/>
        <w:tblLook w:val="04A0" w:firstRow="1" w:lastRow="0" w:firstColumn="1" w:lastColumn="0" w:noHBand="0" w:noVBand="1"/>
      </w:tblPr>
      <w:tblGrid>
        <w:gridCol w:w="729"/>
        <w:gridCol w:w="2118"/>
        <w:gridCol w:w="1831"/>
        <w:gridCol w:w="3402"/>
        <w:gridCol w:w="4820"/>
        <w:gridCol w:w="1713"/>
        <w:gridCol w:w="1635"/>
      </w:tblGrid>
      <w:tr w:rsidR="00C57D83" w:rsidRPr="00B5728C" w14:paraId="04D10945" w14:textId="77777777" w:rsidTr="001C664E">
        <w:trPr>
          <w:trHeight w:val="80"/>
          <w:jc w:val="center"/>
        </w:trPr>
        <w:tc>
          <w:tcPr>
            <w:tcW w:w="16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CF03C9" w14:textId="7B794793" w:rsidR="00C57D83" w:rsidRPr="00B5728C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Thursday 28 September 2017</w:t>
            </w:r>
          </w:p>
        </w:tc>
      </w:tr>
      <w:tr w:rsidR="006229CA" w:rsidRPr="00B5728C" w14:paraId="67C3221E" w14:textId="77777777" w:rsidTr="001C664E">
        <w:trPr>
          <w:trHeight w:val="30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5BE4C1" w14:textId="6EE52E30" w:rsidR="006229CA" w:rsidRPr="00B5728C" w:rsidRDefault="006229CA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1830-2000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5C9217" w14:textId="459F5AC8" w:rsidR="00435FAE" w:rsidRPr="00B5728C" w:rsidRDefault="006229CA" w:rsidP="00435F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Everyday Asthma – Putting the Patient First</w:t>
            </w:r>
            <w:r w:rsidR="00D26273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(AstraZeneca satellite symposium)</w:t>
            </w:r>
            <w:r w:rsidR="00435FAE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710D76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Chair: </w:t>
            </w:r>
            <w:r w:rsidR="0010221E" w:rsidRPr="00B5728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Steve Holmes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br/>
              <w:t>Wheezy Kids &amp; Troublesome Teenagers</w:t>
            </w:r>
            <w:r w:rsidR="00435FAE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B5728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Iain Small</w:t>
            </w:r>
          </w:p>
          <w:p w14:paraId="67093856" w14:textId="610BE23C" w:rsidR="00624876" w:rsidRPr="00B5728C" w:rsidRDefault="006229CA" w:rsidP="00DC4004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Adult Asthma Management – A Breeze or a Wheeze?</w:t>
            </w:r>
            <w:r w:rsidR="00435FAE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B5728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 xml:space="preserve">John </w:t>
            </w:r>
            <w:proofErr w:type="spellStart"/>
            <w:r w:rsidRPr="00B5728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Haughney</w:t>
            </w:r>
            <w:proofErr w:type="spellEnd"/>
          </w:p>
        </w:tc>
      </w:tr>
      <w:tr w:rsidR="006229CA" w:rsidRPr="00B5728C" w14:paraId="255A1159" w14:textId="77777777" w:rsidTr="001C664E">
        <w:trPr>
          <w:trHeight w:val="70"/>
          <w:jc w:val="center"/>
        </w:trPr>
        <w:tc>
          <w:tcPr>
            <w:tcW w:w="162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45C9C4" w14:textId="77777777" w:rsidR="006229CA" w:rsidRPr="00B5728C" w:rsidRDefault="006229CA" w:rsidP="00C57D8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</w:p>
        </w:tc>
      </w:tr>
      <w:tr w:rsidR="00C57D83" w:rsidRPr="00B5728C" w14:paraId="5FA2815B" w14:textId="77777777" w:rsidTr="001C664E">
        <w:trPr>
          <w:trHeight w:val="80"/>
          <w:jc w:val="center"/>
        </w:trPr>
        <w:tc>
          <w:tcPr>
            <w:tcW w:w="162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CDF7" w14:textId="77777777" w:rsidR="00C57D83" w:rsidRPr="00B5728C" w:rsidRDefault="00C57D83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Friday 29 September 2017</w:t>
            </w:r>
          </w:p>
        </w:tc>
      </w:tr>
      <w:tr w:rsidR="00792EF6" w:rsidRPr="00B5728C" w14:paraId="2ED154F2" w14:textId="77777777" w:rsidTr="001C664E">
        <w:trPr>
          <w:trHeight w:val="971"/>
          <w:jc w:val="center"/>
        </w:trPr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8495DF1" w14:textId="13FFE7DC" w:rsidR="00792EF6" w:rsidRPr="00B5728C" w:rsidRDefault="00792EF6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1A5D73E" w14:textId="48CCAEF3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CLINICAL SYMPOSIA</w:t>
            </w:r>
          </w:p>
          <w:p w14:paraId="79AE9206" w14:textId="77777777" w:rsidR="00792EF6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Focused on getting the fundame</w:t>
            </w:r>
            <w:r w:rsidR="00435FAE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ntals of care right and looking be</w:t>
            </w: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yond the consultation</w:t>
            </w:r>
          </w:p>
          <w:p w14:paraId="1082980C" w14:textId="118213DF" w:rsidR="00435FAE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1 (Ironbridge 1)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14:paraId="7D0FAB65" w14:textId="65A3A6C3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SERVICE DEVELOPMENT</w:t>
            </w:r>
          </w:p>
          <w:p w14:paraId="364B49A7" w14:textId="4ABEFDA7" w:rsidR="00792EF6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Featuring innovative case studies and examples</w:t>
            </w:r>
            <w:r w:rsidR="005B6BF0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;</w:t>
            </w: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focusing on inspiring sustainable change</w:t>
            </w:r>
          </w:p>
          <w:p w14:paraId="76E6380B" w14:textId="0BAD161B" w:rsidR="00435FAE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2 (Atcham Suite)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  <w:hideMark/>
          </w:tcPr>
          <w:p w14:paraId="0FE20919" w14:textId="4A49AF97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RESEARCH SESSIONS</w:t>
            </w:r>
          </w:p>
          <w:p w14:paraId="5B26EAC4" w14:textId="5522306B" w:rsidR="00435FAE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Cutting edge, 'real world' research </w:t>
            </w:r>
            <w:r w:rsidR="004870A1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presentations</w:t>
            </w:r>
          </w:p>
          <w:p w14:paraId="3F02F628" w14:textId="7F094F1F" w:rsidR="00792EF6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in conjunction with </w:t>
            </w:r>
            <w:proofErr w:type="spellStart"/>
            <w:r w:rsidRPr="00B5728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  <w:lang w:eastAsia="en-GB"/>
              </w:rPr>
              <w:t>npj</w:t>
            </w:r>
            <w:proofErr w:type="spellEnd"/>
            <w:r w:rsidRPr="00B5728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  <w:lang w:eastAsia="en-GB"/>
              </w:rPr>
              <w:t xml:space="preserve"> Primary Care Respiratory Medicine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1BE34A63" w14:textId="6882507D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PRACTICAL WORKSHOPS</w:t>
            </w:r>
          </w:p>
          <w:p w14:paraId="53DA4EAE" w14:textId="77777777" w:rsidR="00435FAE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Interactive, practical workshops</w:t>
            </w:r>
          </w:p>
          <w:p w14:paraId="2885C488" w14:textId="345EDE4D" w:rsidR="00792EF6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in conjunction with Education for Health, offering an opportunity to enhance key consultation and clinical respiratory skills</w:t>
            </w:r>
          </w:p>
        </w:tc>
      </w:tr>
      <w:tr w:rsidR="00955A4B" w:rsidRPr="00B5728C" w14:paraId="02F7D9DB" w14:textId="77777777" w:rsidTr="001C664E">
        <w:trPr>
          <w:trHeight w:val="252"/>
          <w:jc w:val="center"/>
        </w:trPr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E798F55" w14:textId="77777777" w:rsidR="00792EF6" w:rsidRPr="00B5728C" w:rsidRDefault="00792EF6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1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087C798A" w14:textId="77777777" w:rsidR="00792EF6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8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2A4F4574" w14:textId="77777777" w:rsidR="00792EF6" w:rsidRPr="00B5728C" w:rsidRDefault="00792EF6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476A77E" w14:textId="77777777" w:rsidR="00435FAE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Oral presentations</w:t>
            </w:r>
          </w:p>
          <w:p w14:paraId="3E282DF6" w14:textId="5A7605EE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3 (Wenlock Suite)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3F6D7FE2" w14:textId="77777777" w:rsidR="00435FAE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Poster presentations</w:t>
            </w:r>
          </w:p>
          <w:p w14:paraId="26780066" w14:textId="34831DAE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(</w:t>
            </w:r>
            <w:r w:rsidR="00792EF6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Gallery</w:t>
            </w: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64B40E36" w14:textId="3FAD25D8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4 (</w:t>
            </w:r>
            <w:proofErr w:type="spellStart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Coalport</w:t>
            </w:r>
            <w:proofErr w:type="spellEnd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1)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6A92208E" w14:textId="4A941E78" w:rsidR="00792EF6" w:rsidRPr="00B5728C" w:rsidRDefault="00435FAE" w:rsidP="00435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4 (</w:t>
            </w:r>
            <w:proofErr w:type="spellStart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Coalport</w:t>
            </w:r>
            <w:proofErr w:type="spellEnd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2)</w:t>
            </w:r>
          </w:p>
        </w:tc>
      </w:tr>
      <w:tr w:rsidR="002930D0" w:rsidRPr="00B5728C" w14:paraId="7E78A8A8" w14:textId="77777777" w:rsidTr="00CB5E53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</w:tcPr>
          <w:p w14:paraId="2FB4A2F4" w14:textId="66CFC49C" w:rsidR="002930D0" w:rsidRPr="00B5728C" w:rsidRDefault="002930D0" w:rsidP="00C57D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0830-0900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3FDC38B7" w14:textId="30279248" w:rsidR="00625E54" w:rsidRPr="00B5728C" w:rsidRDefault="00625E54" w:rsidP="00435FA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Refreshments and</w:t>
            </w:r>
            <w:r w:rsidR="002930D0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exhibition</w:t>
            </w:r>
            <w:r w:rsidR="00AF4DBC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9D3EAB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5</w:t>
            </w:r>
            <w:r w:rsidR="00435FAE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(</w:t>
            </w:r>
            <w:r w:rsidR="00AF4DBC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Ironbridge 2 and 3)</w:t>
            </w:r>
          </w:p>
        </w:tc>
      </w:tr>
      <w:tr w:rsidR="00955A4B" w:rsidRPr="00B5728C" w14:paraId="7C194D14" w14:textId="77777777" w:rsidTr="001C664E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99E2C59" w14:textId="6E0CEB34" w:rsidR="002930D0" w:rsidRPr="00B5728C" w:rsidRDefault="00955A4B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0830-0850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D644A13" w14:textId="5B145EA4" w:rsidR="002930D0" w:rsidRPr="00B5728C" w:rsidRDefault="002930D0" w:rsidP="00AF4D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C1563B6" w14:textId="5A9D2EAC" w:rsidR="002930D0" w:rsidRPr="00B5728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9F4735" w14:textId="449D1E38" w:rsidR="002930D0" w:rsidRPr="00B5728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7BB378" w14:textId="6EFB9557" w:rsidR="002930D0" w:rsidRPr="00B5728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0C6742DC" w14:textId="37794AD3" w:rsidR="005A64CC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Mindfulness session ‘Analytical meditation on the precious human life’</w:t>
            </w:r>
            <w:r w:rsidR="005A64CC"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with Melissa Canavan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2E5FC9F" w14:textId="466371B7" w:rsidR="002930D0" w:rsidRPr="00B5728C" w:rsidRDefault="002930D0" w:rsidP="002930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955A4B" w:rsidRPr="00B5728C" w14:paraId="716B1142" w14:textId="77777777" w:rsidTr="001C664E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F967AAC" w14:textId="48A6495B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0900-1000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67F896E4" w14:textId="761B6508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Opening plenary: Right care, right place, right time</w:t>
            </w:r>
            <w:r w:rsidR="004870A1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Noel Baxter</w:t>
            </w:r>
          </w:p>
          <w:p w14:paraId="1A6009F7" w14:textId="180E499D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What works to improve care for patients, and what doesn’t </w:t>
            </w:r>
            <w:r w:rsidRPr="00B5728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Martin Marshall</w:t>
            </w:r>
          </w:p>
        </w:tc>
      </w:tr>
      <w:tr w:rsidR="00955A4B" w:rsidRPr="00B5728C" w14:paraId="5F8F6DEA" w14:textId="77777777" w:rsidTr="001C664E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D011207" w14:textId="7216F73C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1000-1100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7617AD75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Debate: This house believes FeNO testing should be used as part of the diagnostic work up in all patients suspected of having asthma</w:t>
            </w:r>
          </w:p>
          <w:p w14:paraId="05665AAB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Andrew Whittamore, Asthma UK</w:t>
            </w:r>
          </w:p>
          <w:p w14:paraId="1D1D66CB" w14:textId="27029286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Speakers: Hilary Pinnock (</w:t>
            </w:r>
            <w:proofErr w:type="spellStart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opposer</w:t>
            </w:r>
            <w:proofErr w:type="spellEnd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) and John Alexander (proposer)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1A8CE323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Which COPD guideline should we use locally?</w:t>
            </w:r>
          </w:p>
          <w:p w14:paraId="29F282F8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Sandy Walmsley</w:t>
            </w:r>
          </w:p>
          <w:p w14:paraId="579721FC" w14:textId="5390DC03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1) Getting respiratory guideline consensus across an STP-SE London, Azhar Saleem</w:t>
            </w:r>
          </w:p>
          <w:p w14:paraId="0BFD41D5" w14:textId="7C925D5D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2) Implementing a local guideline: the Birmingham experience, Alice Turner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B7923C" w14:textId="069FA46E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Original research: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Mental health, the patient perspective and health inequality</w:t>
            </w:r>
          </w:p>
          <w:p w14:paraId="549AC036" w14:textId="5C8A7DE5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Co-chairs: 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Rachel Jordan and Tracy Jackson</w:t>
            </w:r>
          </w:p>
          <w:p w14:paraId="5C71F57E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S35. Are COPD outcomes different in patients who have also been diagnosed with anxiety and/or depression: A real-life UK cohort study - Emma Ray</w:t>
            </w:r>
          </w:p>
          <w:p w14:paraId="1AE3B99E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S36. The relationship between anxiety and quality of life in patients with asthma: findings from the Breathing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REtraining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for Asthma Trial of Home Exercise (BREATHE) trial - Ben Ainsworth</w:t>
            </w:r>
          </w:p>
          <w:p w14:paraId="2D54A9E2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S7. What features do patients ‘want’ in a mobile asthma app?: a qualitative study - Chi Yan Hui</w:t>
            </w:r>
          </w:p>
          <w:p w14:paraId="24060185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S20. ‘I’m Fine’: exploring patient and carer assertions of status in advanced COPD and clinical implications - Caroline Moore</w:t>
            </w:r>
          </w:p>
          <w:p w14:paraId="15750A8F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S37. Promoting pulmonary rehabilitation in COPD with lay health workers: a feasibility study - Patrick White</w:t>
            </w:r>
          </w:p>
          <w:p w14:paraId="0DD331D1" w14:textId="4622CF1D" w:rsidR="00955A4B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S11. Socioeconomic deprivation and inequalities in asthma care in Wales - Mohammad Al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Sallakh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A23EA9" w14:textId="7D4017F6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Best practice: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COPD and other chronic lung disease</w:t>
            </w:r>
          </w:p>
          <w:p w14:paraId="39880AD5" w14:textId="76B48B1B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Co-chairs: Pam Parry</w:t>
            </w:r>
            <w:r w:rsid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and Steph Taylor</w:t>
            </w:r>
          </w:p>
          <w:p w14:paraId="784AD9F8" w14:textId="331459A8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BP20. Sharing evidence of how Community Pharmacist interventions can improve COPD management - Darush Attar-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Zadeh</w:t>
            </w:r>
            <w:proofErr w:type="spellEnd"/>
          </w:p>
          <w:p w14:paraId="6A98F39B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BP10. A Quality Improvement Strategy to Reduce Admissions and Readmissions for patients with COPD - Karen Fern</w:t>
            </w:r>
          </w:p>
          <w:p w14:paraId="08C66C89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BP5. An audit of the effects of smoking cessation on PO2 levels in a Home Oxygen Service. - Melissa Canavan</w:t>
            </w:r>
          </w:p>
          <w:p w14:paraId="3F3E7479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BP14. “Real World” use of azithromycin for managing COPD exacerbations in a community based respiratory service - Sarah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Cowdell</w:t>
            </w:r>
            <w:proofErr w:type="spellEnd"/>
          </w:p>
          <w:p w14:paraId="5A072258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BP13. When more is less: Cost savings associated with new inhaler products in a community based respiratory clinic - Sarah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Cowdell</w:t>
            </w:r>
            <w:proofErr w:type="spellEnd"/>
          </w:p>
          <w:p w14:paraId="5EBD6262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BP11. The basic clinical principles of long term oxygen use by adults in the home – The development of an innovative accredited eLearning package. - Jo Hobbs</w:t>
            </w:r>
          </w:p>
          <w:p w14:paraId="22743055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BP7. PAVAR goal setting improves health outcomes in a multidisciplinary community respiratory team. - Marianne Milligan</w:t>
            </w:r>
          </w:p>
          <w:p w14:paraId="5E6EE17A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BP22. Post-exacerbation pulmonary rehab; the challenges of putting guidelines into practice. - Laura Moth</w:t>
            </w:r>
          </w:p>
          <w:p w14:paraId="5ECCF2CA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BP6. The Impact of a Marketing Campaign on Referral Rates for Pulmonary Rehabilitation - Gillian Austin</w:t>
            </w:r>
          </w:p>
          <w:p w14:paraId="7A2AE38F" w14:textId="778B17AE" w:rsidR="00955A4B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BP34. Keep Active Keep Well; behaviour change exercise programme - Rebecca Jones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71BF3B41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Pulmonary rehabilitation: let's all do it*</w:t>
            </w:r>
          </w:p>
          <w:p w14:paraId="5A68CD79" w14:textId="32DF21F2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Co-facilitators: Kelly Redden-Rowley and Sally King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61FB503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Chest examination for nurses and allied health professionals*</w:t>
            </w:r>
          </w:p>
          <w:p w14:paraId="19701EA4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Thea Oliver</w:t>
            </w:r>
          </w:p>
          <w:p w14:paraId="019F83C9" w14:textId="71955575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Facilitator: Natalie Harper</w:t>
            </w:r>
          </w:p>
        </w:tc>
      </w:tr>
      <w:tr w:rsidR="00955A4B" w:rsidRPr="00B5728C" w14:paraId="71646A29" w14:textId="77777777" w:rsidTr="001C664E">
        <w:trPr>
          <w:trHeight w:val="6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71AEF911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1100-1130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095E44E" w14:textId="357ABB53" w:rsidR="00955A4B" w:rsidRPr="00B5728C" w:rsidRDefault="00CA2B78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Refreshments and exhibition PCRS-UK 5 (Ironbridge 2 and 3)</w:t>
            </w:r>
          </w:p>
        </w:tc>
      </w:tr>
      <w:tr w:rsidR="00955A4B" w:rsidRPr="00B5728C" w14:paraId="105E88C2" w14:textId="77777777" w:rsidTr="001C664E">
        <w:trPr>
          <w:trHeight w:val="39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449A154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1130-1215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BEE5DE" w14:textId="047AB31F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Interstitial lung disease (ILD) is it on your radar? How to recognise, refer and manage your patients appropriately</w:t>
            </w:r>
          </w:p>
          <w:p w14:paraId="41851AAA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Steven Wibberley, BLF</w:t>
            </w:r>
          </w:p>
          <w:p w14:paraId="2A5CBB42" w14:textId="1C7E3A74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Speakers: Jane Scullion and Felix Woodhead</w:t>
            </w:r>
          </w:p>
          <w:p w14:paraId="4288A21A" w14:textId="034485CE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patient perspective: Stephen Jones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4DD05204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What models will improve respiratory diagnosis? Experts and generalists in harmony</w:t>
            </w:r>
          </w:p>
          <w:p w14:paraId="6654639B" w14:textId="4BE7508C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Stephen Gaduzo</w:t>
            </w:r>
          </w:p>
          <w:p w14:paraId="4E7E16B0" w14:textId="7B34A9C3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Speakers: </w:t>
            </w: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Vicky Moore</w:t>
            </w:r>
            <w:r w:rsidR="00607B38"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,</w:t>
            </w: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 Rhys Jeffries </w:t>
            </w:r>
            <w:r w:rsidR="00607B38"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and </w:t>
            </w: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Jo Hamilton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C5E842" w14:textId="35E45F7C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Best practice: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Using the internet and technology to improve care</w:t>
            </w:r>
          </w:p>
          <w:p w14:paraId="4F3B23F7" w14:textId="17ABA216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Co-chairs: Hilary Pinnock and Phyllis </w:t>
            </w:r>
            <w:proofErr w:type="spellStart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Murphie</w:t>
            </w:r>
            <w:proofErr w:type="spellEnd"/>
          </w:p>
          <w:p w14:paraId="2F6C1DF2" w14:textId="2ADFA462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BP25. Enhancing understanding of asthma in children and young people through online learning - Viv Marsh</w:t>
            </w:r>
          </w:p>
          <w:p w14:paraId="61C58AF4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BP27. Using eLearning to promote correct inhaler use by respiratory patients: the UKIG Inhaler Standards website – Jane Scullion</w:t>
            </w:r>
          </w:p>
          <w:p w14:paraId="72709BC3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S24. Big brother is monitoring you - real time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telemonitoring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in CPAP and NIV therapy users with sleep disordered breathing - Phyllis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Murphie</w:t>
            </w:r>
            <w:proofErr w:type="spellEnd"/>
          </w:p>
          <w:p w14:paraId="56392E8F" w14:textId="651481F9" w:rsidR="00CA2B78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BP16. Made you look: using graphics for Quality Improvement in the COPD primary care audit - Juliana Holzhauer-Barrie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87225B3" w14:textId="72FD62DC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Original research: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Asthma</w:t>
            </w:r>
          </w:p>
          <w:p w14:paraId="58B7ADFB" w14:textId="47312CEF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Co-chairs: Chi Yan Hui and Mike Thomas</w:t>
            </w:r>
          </w:p>
          <w:p w14:paraId="3E1D1819" w14:textId="199A6501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S8. Understanding shared decision making in personalised action plan implementation in adult asthma: An exploratory feasibility study - Natasha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Callender</w:t>
            </w:r>
            <w:proofErr w:type="spellEnd"/>
          </w:p>
          <w:p w14:paraId="7D324946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S26. Estimating exacerbation rates from routine UK primary care data: an exploratory validation from the IMP2ART programme. - Chris Newby</w:t>
            </w:r>
          </w:p>
          <w:p w14:paraId="0D320C9A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S33. Investigation into health related quality of life in adult patients with asthma - Eleni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Stamatopoulou</w:t>
            </w:r>
            <w:proofErr w:type="spellEnd"/>
          </w:p>
          <w:p w14:paraId="541A2152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S25. How to secure better outcomes for everybody in asthma management: The International – Medicines Use Review Health Technology Assessment (International-MUR HTA) - Andrea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Manfrin</w:t>
            </w:r>
            <w:proofErr w:type="spellEnd"/>
          </w:p>
          <w:p w14:paraId="097D3B88" w14:textId="620AD503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S27. Assessing Technology-assisted Asthma Administration in enhancing Inhalation and Prescription Compliance - </w:t>
            </w: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Barry Henderson</w:t>
            </w:r>
          </w:p>
          <w:p w14:paraId="246183BC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S22. Investigating asthma comorbidities: a systematic scoping review. - Karim El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Ferkh</w:t>
            </w:r>
            <w:proofErr w:type="spellEnd"/>
          </w:p>
          <w:p w14:paraId="4C078708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S19. What is the loss in quality of life associated with an asthma-related crisis event? - Christina-Jane Crossman-Barnes</w:t>
            </w:r>
          </w:p>
          <w:p w14:paraId="6ABC0EDF" w14:textId="57D41F89" w:rsidR="00CA2B78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S31. Examining Licensed and Unlicensed Spacer Use with Non-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Extrafine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Beclometasone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Dipropionate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Treatment in a Real-Life Patient Population with Asthma in the United Kingdom - Simon Wan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Yau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Ming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936291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Inhaler technique: check yours*</w:t>
            </w:r>
          </w:p>
          <w:p w14:paraId="7039418B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Val Gerrard</w:t>
            </w:r>
          </w:p>
          <w:p w14:paraId="5F946EC6" w14:textId="068D3699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Facilitator​​: Anna Murphy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C6A96BE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Experiencing oxygen therapy and non-invasive ventilation</w:t>
            </w:r>
          </w:p>
          <w:p w14:paraId="0025D7AF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Jacqui Cooper</w:t>
            </w:r>
          </w:p>
          <w:p w14:paraId="37A35772" w14:textId="708FEC0E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Facilitator: Chris Loveridge plus a patient perspective</w:t>
            </w:r>
          </w:p>
        </w:tc>
      </w:tr>
      <w:tr w:rsidR="00955A4B" w:rsidRPr="00B5728C" w14:paraId="439A750D" w14:textId="77777777" w:rsidTr="001C664E">
        <w:trPr>
          <w:trHeight w:val="25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133E0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1215-1300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A572D1" w14:textId="6C7DAED5" w:rsidR="00955A4B" w:rsidRPr="00B5728C" w:rsidRDefault="005F3F3A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The practicalities of tackling the overuse of Inhaled Corticosteroids</w:t>
            </w:r>
            <w:r w:rsidR="00955A4B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(Pfizer sponsored symposium)</w:t>
            </w:r>
          </w:p>
          <w:p w14:paraId="6206C79A" w14:textId="3F864031" w:rsidR="00955A4B" w:rsidRPr="00B5728C" w:rsidRDefault="005F3F3A" w:rsidP="005F3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Chair: Anne Rodman            </w:t>
            </w:r>
            <w:r w:rsidR="00955A4B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Speakers: James Calvert, Bristol and </w:t>
            </w:r>
            <w:r w:rsidR="00066780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Helen</w:t>
            </w:r>
            <w:r w:rsidR="00004D81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</w:t>
            </w:r>
            <w:r w:rsidR="00066780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Cummings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, 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Specialist Respiratory Nurse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, 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Hull and East Yorkshire Hospitals NHS Trust</w:t>
            </w:r>
          </w:p>
          <w:p w14:paraId="03328163" w14:textId="72253944" w:rsidR="00551FFF" w:rsidRPr="00B5728C" w:rsidRDefault="00551FFF" w:rsidP="000667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n-GB"/>
              </w:rPr>
              <w:t>This symposium has been developed in conjunction with PCRS-UK to ensure it complements the main programme</w:t>
            </w:r>
          </w:p>
        </w:tc>
      </w:tr>
      <w:tr w:rsidR="00955A4B" w:rsidRPr="00B5728C" w14:paraId="09F013A6" w14:textId="77777777" w:rsidTr="001C664E">
        <w:trPr>
          <w:trHeight w:val="25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7895582" w14:textId="19BDFD01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1300-1400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0AA22848" w14:textId="0D0C4E5D" w:rsidR="00955A4B" w:rsidRPr="00B5728C" w:rsidRDefault="00CA2B78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Lunch PCRS-UK 5 (Ironbridge 2 and 3)</w:t>
            </w:r>
          </w:p>
        </w:tc>
      </w:tr>
      <w:tr w:rsidR="00955A4B" w:rsidRPr="00B5728C" w14:paraId="2D83037D" w14:textId="77777777" w:rsidTr="001C664E">
        <w:trPr>
          <w:trHeight w:val="25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2E7157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1400-1445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887DAF" w14:textId="3A5FAC4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Real world difficult asthma – what is it really about? (Novartis sponsored symposium)</w:t>
            </w:r>
          </w:p>
          <w:p w14:paraId="44FF37F4" w14:textId="77777777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Speakers: Steve Holmes and Rob Niven</w:t>
            </w:r>
          </w:p>
          <w:p w14:paraId="5C4A67F5" w14:textId="4A379E25" w:rsidR="00551FFF" w:rsidRPr="00B5728C" w:rsidRDefault="00551FFF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n-GB"/>
              </w:rPr>
              <w:t>This symposium has been developed in conjunction with PCRS-UK to ensure it complements the main programme</w:t>
            </w:r>
          </w:p>
        </w:tc>
      </w:tr>
      <w:tr w:rsidR="00955A4B" w:rsidRPr="00B5728C" w14:paraId="1C8F3BC4" w14:textId="77777777" w:rsidTr="001C664E">
        <w:trPr>
          <w:trHeight w:val="68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2991F4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1445-1530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D0F250" w14:textId="0AC1BD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Cough and spit: Bronchiectasis or chronic bronchitis, which is it?</w:t>
            </w:r>
          </w:p>
          <w:p w14:paraId="11ECDB81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Chair: Kevin </w:t>
            </w:r>
            <w:proofErr w:type="spellStart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Gruffydd</w:t>
            </w:r>
            <w:proofErr w:type="spellEnd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-Jones</w:t>
            </w:r>
          </w:p>
          <w:p w14:paraId="46ADA1AE" w14:textId="42BECE32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Speaker: James Chalmers</w:t>
            </w:r>
          </w:p>
          <w:p w14:paraId="0E20646F" w14:textId="2CF93845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patient perspective: Barbara Preston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BB9B019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iCs/>
                <w:color w:val="000000"/>
                <w:sz w:val="18"/>
                <w:szCs w:val="20"/>
                <w:lang w:eastAsia="en-GB"/>
              </w:rPr>
              <w:t>Working differently with people in the new models of care</w:t>
            </w:r>
          </w:p>
          <w:p w14:paraId="6DA56447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 xml:space="preserve">Chair: </w:t>
            </w:r>
            <w:proofErr w:type="spellStart"/>
            <w:r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>Binita</w:t>
            </w:r>
            <w:proofErr w:type="spellEnd"/>
            <w:r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 xml:space="preserve"> Kane</w:t>
            </w:r>
          </w:p>
          <w:p w14:paraId="7D04F6A5" w14:textId="1DA5D58D" w:rsidR="00955A4B" w:rsidRPr="00B5728C" w:rsidRDefault="00CA2B78" w:rsidP="00955A4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>1) Group c</w:t>
            </w:r>
            <w:r w:rsidR="00955A4B"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 xml:space="preserve">onsultations, Alison Manson and Ruth </w:t>
            </w:r>
            <w:proofErr w:type="spellStart"/>
            <w:r w:rsidR="00955A4B"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>Clery</w:t>
            </w:r>
            <w:proofErr w:type="spellEnd"/>
          </w:p>
          <w:p w14:paraId="427705B6" w14:textId="2B169888" w:rsidR="00955A4B" w:rsidRPr="00B5728C" w:rsidRDefault="00955A4B" w:rsidP="005F3F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 xml:space="preserve">2) Making waves: spreading a life-changing model for informal COPD clinics, </w:t>
            </w:r>
            <w:r w:rsidR="005F3F3A" w:rsidRPr="00B5728C">
              <w:rPr>
                <w:rFonts w:ascii="Arial" w:eastAsia="Times New Roman" w:hAnsi="Arial" w:cs="Arial"/>
                <w:iCs/>
                <w:color w:val="000000"/>
                <w:sz w:val="18"/>
                <w:szCs w:val="20"/>
                <w:lang w:eastAsia="en-GB"/>
              </w:rPr>
              <w:t>Louise Sewell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C9684" w14:textId="4E2F1085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Original research: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New targets for treatment: identifying and managing uncontrolled asthma and COPD</w:t>
            </w:r>
          </w:p>
          <w:p w14:paraId="4E90828B" w14:textId="289DE3E9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Co-chairs: Mohammed al </w:t>
            </w:r>
            <w:proofErr w:type="spellStart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Sallakh</w:t>
            </w:r>
            <w:proofErr w:type="spellEnd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and </w:t>
            </w:r>
            <w:r w:rsid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Tim Harries</w:t>
            </w:r>
          </w:p>
          <w:p w14:paraId="0BE70C2A" w14:textId="18ECFC0B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S9. A systematic review of children with asthma aged 5-12 to identify and weight indicators of risk of asthma attacks - Susannah McLean</w:t>
            </w:r>
          </w:p>
          <w:p w14:paraId="39CA624D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S28.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Endotypes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of COPD: their role in determining response to inhaled corticosteroids - Timothy Harries</w:t>
            </w:r>
          </w:p>
          <w:p w14:paraId="242A02E9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S34. A qualitative study on the use of electronic alerts to identify excessive prescribing of short acting beta2-agonist (SABA) inhalers in people with asthma: the views of asthma experts and primary care staff - Shauna McKibben</w:t>
            </w:r>
          </w:p>
          <w:p w14:paraId="6B22F500" w14:textId="7ABE5D70" w:rsidR="00CA2B78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S6. Breathing exercises for asthma- results of the BREATHE study - Mike Thomas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EA33DB8" w14:textId="719C4949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Best practice: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Asthma and TB</w:t>
            </w:r>
          </w:p>
          <w:p w14:paraId="4D31F448" w14:textId="63090243" w:rsid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Martyn Partridge</w:t>
            </w:r>
          </w:p>
          <w:p w14:paraId="17838E7E" w14:textId="10753FC2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BP8. FeNO Use in Primary Care Management of Asthma - Michael O'Neill</w:t>
            </w:r>
          </w:p>
          <w:p w14:paraId="2CFE38AA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BP24. Good practices investigating bronchial asthma as psychosomatic disease - Eleni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Stamatopoulou</w:t>
            </w:r>
            <w:proofErr w:type="spellEnd"/>
          </w:p>
          <w:p w14:paraId="2FD090C6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BP15. Asthma Matters; The introduction of Exhaled Nitrous Oxide (FeNO) to maximise asthma management in primary care - Pamela Astley</w:t>
            </w:r>
          </w:p>
          <w:p w14:paraId="6F4ECC8D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BP21. Audit on the prescribing of inhaled short-acting beta2 agonists in the treatment of asthma: many patients overuse this medication - Ayesha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Kotecha</w:t>
            </w:r>
            <w:proofErr w:type="spellEnd"/>
          </w:p>
          <w:p w14:paraId="3D0A2825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BP26. Prescribing of inhalers in primary care - Hetal Dhruve</w:t>
            </w:r>
          </w:p>
          <w:p w14:paraId="49B2F513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BP28. Referral to a Community based Asthma Liaison Nurse - Gail Miles</w:t>
            </w:r>
          </w:p>
          <w:p w14:paraId="371DF1B1" w14:textId="7170A760" w:rsidR="00CA2B78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BP1. An audit into the completeness of latent tuberculosis screening in the gastroenterology department, prior to patients starting anti-TNF-α therapy - Shuaib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Meghji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2CDF456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CBT: non-pharmacological techniques for managing breathlessness</w:t>
            </w:r>
          </w:p>
          <w:p w14:paraId="02234357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Christine Ennor</w:t>
            </w:r>
          </w:p>
          <w:p w14:paraId="1DDB07A5" w14:textId="04FFF6CB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Facilitators: Graham Burns and Karen Heslop-Marshall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C110C5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How to read and understand a clinical paper</w:t>
            </w:r>
          </w:p>
          <w:p w14:paraId="67AD3F83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Luke Daines</w:t>
            </w:r>
          </w:p>
          <w:p w14:paraId="7C6A7ECB" w14:textId="0192851D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Facilitator: Helen Ashdown</w:t>
            </w:r>
          </w:p>
        </w:tc>
      </w:tr>
      <w:tr w:rsidR="00955A4B" w:rsidRPr="00B5728C" w14:paraId="5FE1EBB0" w14:textId="77777777" w:rsidTr="001C664E">
        <w:trPr>
          <w:trHeight w:val="3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3DF49828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1530-1600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6B7E1B15" w14:textId="1E1D4825" w:rsidR="00955A4B" w:rsidRPr="00B5728C" w:rsidRDefault="008E63FA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Refreshments and exhibition PCRS-UK 5 (Ironbridge 2 and 3)</w:t>
            </w:r>
          </w:p>
        </w:tc>
      </w:tr>
      <w:tr w:rsidR="00955A4B" w:rsidRPr="00B5728C" w14:paraId="6A19B9EE" w14:textId="77777777" w:rsidTr="001C664E">
        <w:trPr>
          <w:trHeight w:val="1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1BB0E6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1600-1645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65E7253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Respiratory infections: Let’s talk about antibiotics, right time, right person, right place</w:t>
            </w:r>
          </w:p>
          <w:p w14:paraId="60549CE9" w14:textId="71E15922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Helen Ashdown</w:t>
            </w:r>
          </w:p>
          <w:p w14:paraId="291490C8" w14:textId="23315B8B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Speaker: Donna Lecky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502FEFB" w14:textId="1CE66B01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Breathlessness services</w:t>
            </w:r>
            <w:r w:rsidR="005F3F3A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- breathe in or out: where should the service be?</w:t>
            </w:r>
          </w:p>
          <w:p w14:paraId="2EFCB11C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Vince Mak</w:t>
            </w:r>
          </w:p>
          <w:p w14:paraId="2F23556A" w14:textId="45B596A9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1) Fatigue, anxiety and breathlessness: the FAB service, Diana Webb and Cathy </w:t>
            </w:r>
            <w:proofErr w:type="spellStart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Carmody</w:t>
            </w:r>
            <w:proofErr w:type="spellEnd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-Heaton</w:t>
            </w:r>
          </w:p>
          <w:p w14:paraId="79909FF7" w14:textId="6551469D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2) How do I replicate the BSS in a </w:t>
            </w:r>
            <w:proofErr w:type="spellStart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multispecia</w:t>
            </w:r>
            <w:r w:rsidR="00BC2DCA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lity</w:t>
            </w:r>
            <w:proofErr w:type="spellEnd"/>
            <w:r w:rsidR="00BC2DCA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provider model of care?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Irene Higginson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902357" w14:textId="6BEB2446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Best practice: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Collaborative care (and dancing for breathlessness)</w:t>
            </w:r>
          </w:p>
          <w:p w14:paraId="2E8B0743" w14:textId="4083EFFC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Co-chairs: Basil Penney and Deirdre Siddaway</w:t>
            </w:r>
          </w:p>
          <w:p w14:paraId="67A89D4A" w14:textId="26A255A1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BP18. Prudent Respiratory Prescribing – A Collaborative Strategy for Change - Jacqueline Reynolds</w:t>
            </w:r>
          </w:p>
          <w:p w14:paraId="4AA7142C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BP4. Getting a GRIP on Respiratory care- a multi-disciplinary approach to Asthma and COPD care in Grampian - Iain Small</w:t>
            </w:r>
          </w:p>
          <w:p w14:paraId="06BDB23B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BP29. Using a virtual ward MDT as a platform to discuss COPD patients who have been identified as having frequent admissions to hospital promotes a collaborative and coordinated approach between the COPD Specialist Nurse based in the community and the hospital based Respiratory Consultant and Respiratory Specialist Nurse. By sharing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uptodate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information these patients receive appropriate and optimised management plans. Ultimately promoting best practice whilst reducing readmissions. - Kathryn Williams</w:t>
            </w:r>
          </w:p>
          <w:p w14:paraId="3C55CC7A" w14:textId="366B3788" w:rsidR="008E63FA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BP31. Dance Easy – potential for dance to improve wellbeing of people who are breathless -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Siân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Williams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6D0EEBF" w14:textId="19C1A264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Original research: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Lung function, inhaler delivery and miscellaneous</w:t>
            </w:r>
          </w:p>
          <w:p w14:paraId="5EA905EE" w14:textId="65469CBF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Kamran Siddiqui</w:t>
            </w:r>
          </w:p>
          <w:p w14:paraId="1863DC32" w14:textId="15556603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S3. What types of interventions help young people to quit smoking in Sandwell? The views of Stop Smoking Advisors -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Leisa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-Kay Harris</w:t>
            </w:r>
          </w:p>
          <w:p w14:paraId="7852232E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S12. Comparative assessment of cardiopulmonary parameters of petrol station attendants and non-petrol station attendants -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Titilope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Oluwatobiloba</w:t>
            </w:r>
            <w:proofErr w:type="spellEnd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Ajepe</w:t>
            </w:r>
            <w:proofErr w:type="spellEnd"/>
          </w:p>
          <w:p w14:paraId="021CA43C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S13. Improving spacer delivery for low flow (paediatric) use. - Mark Sanders</w:t>
            </w:r>
          </w:p>
          <w:p w14:paraId="1FD5437A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S14. Objective assessment of inhaler technique with Smartphone App. - Mark Sanders</w:t>
            </w:r>
          </w:p>
          <w:p w14:paraId="538A6335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BP19. Field Walking Tests in Pulmonary Rehabilitation: A retrospective review to compare VO2 peak improvements between the 6 minute walking test and incremental shuttle walk test to determine the most relevant field walking test for community pulmonary rehabilitation. - Kevin Greaves</w:t>
            </w:r>
          </w:p>
          <w:p w14:paraId="42924700" w14:textId="7F0CC875" w:rsidR="008E63FA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S32. Teleconsultation sleep clinic review in Dumfries and Galloway – A patient acceptability survey - Phyllis </w:t>
            </w:r>
            <w:proofErr w:type="spellStart"/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Murphie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AAD4F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Chest examination for nurses and allied health professionals*</w:t>
            </w:r>
          </w:p>
          <w:p w14:paraId="14976F2B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Thea Oliver</w:t>
            </w:r>
          </w:p>
          <w:p w14:paraId="10907255" w14:textId="248C9F88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Facilitator: Natalie Harper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7EDE37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Simplifying spirometry interpretation*</w:t>
            </w:r>
          </w:p>
          <w:p w14:paraId="6E1FB011" w14:textId="77777777" w:rsidR="00955A4B" w:rsidRPr="00B5728C" w:rsidRDefault="00955A4B" w:rsidP="00955A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Chris Ennor</w:t>
            </w:r>
          </w:p>
          <w:p w14:paraId="50B27AB1" w14:textId="0C6E4E64" w:rsidR="00955A4B" w:rsidRPr="00B5728C" w:rsidRDefault="00955A4B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Facilitator: Chris Loveridge</w:t>
            </w:r>
          </w:p>
        </w:tc>
      </w:tr>
      <w:tr w:rsidR="005A64CC" w:rsidRPr="00B5728C" w14:paraId="553A6C96" w14:textId="77777777" w:rsidTr="001C664E">
        <w:trPr>
          <w:trHeight w:val="1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96C831F" w14:textId="28EAAE38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1645-1730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304051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Mind the gap: defining effectiveness from patient populations to everyday clinical practice (GlaxoSmithKline sponsored symposium)</w:t>
            </w:r>
          </w:p>
          <w:p w14:paraId="63C1D311" w14:textId="7E9A0C5D" w:rsidR="00551FFF" w:rsidRPr="00B5728C" w:rsidRDefault="00551FFF" w:rsidP="0055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Co-chairs: Katherine Hickman and Carol Stonham</w:t>
            </w:r>
            <w:r w:rsidR="005F3F3A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                         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Speaker: David Leather</w:t>
            </w:r>
          </w:p>
          <w:p w14:paraId="10818E3D" w14:textId="6F78B2AA" w:rsidR="00551FFF" w:rsidRPr="00B5728C" w:rsidRDefault="00551FFF" w:rsidP="00551F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n-GB"/>
              </w:rPr>
              <w:t>This symposium has been developed in conjunction with PCRS-UK to ensure it complements the main programme</w:t>
            </w:r>
          </w:p>
        </w:tc>
      </w:tr>
      <w:tr w:rsidR="005A64CC" w:rsidRPr="00B5728C" w14:paraId="00FABF81" w14:textId="77777777" w:rsidTr="001C664E">
        <w:trPr>
          <w:trHeight w:val="1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538AC0" w14:textId="3D1ECCB0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1730-1830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3DD5B051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sz w:val="18"/>
                <w:szCs w:val="20"/>
                <w:lang w:eastAsia="en-GB"/>
              </w:rPr>
              <w:t>Dragons Den: Respiratory Innovations</w:t>
            </w:r>
          </w:p>
          <w:p w14:paraId="49D9F834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Chair: Steve Holmes</w:t>
            </w:r>
          </w:p>
          <w:p w14:paraId="4A13C87E" w14:textId="51C774F8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Dragons: Duncan Keeley, Garry McDonald, Hilary Pinnock, Jane Scullion</w:t>
            </w:r>
          </w:p>
          <w:p w14:paraId="1B7F62B7" w14:textId="4A90AA0F" w:rsidR="005A64CC" w:rsidRPr="00B5728C" w:rsidRDefault="005A64CC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Product pitches: FeNO testing - Carol Stonham, Right Breathe App - Azhar Saleem, Singing for Lung Health - Phoene Cave</w:t>
            </w:r>
          </w:p>
        </w:tc>
      </w:tr>
      <w:tr w:rsidR="005A64CC" w:rsidRPr="00B5728C" w14:paraId="05BEF994" w14:textId="77777777" w:rsidTr="001C664E">
        <w:trPr>
          <w:trHeight w:val="1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78D71E7" w14:textId="4946235B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1830-1850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8579026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241C491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501EC272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166C1A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23DEF5F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5D14E5C1" w14:textId="0876090C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Mindfulness session ‘Body scan and breathing meditation’ with Melissa Canavan</w:t>
            </w:r>
          </w:p>
        </w:tc>
      </w:tr>
      <w:tr w:rsidR="005A64CC" w:rsidRPr="00B5728C" w14:paraId="781263F6" w14:textId="77777777" w:rsidTr="001C664E">
        <w:trPr>
          <w:trHeight w:val="123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6BB7DBB" w14:textId="388DDDE9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1915-1935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11D37163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77B19F94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443EEF1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328F41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47AEAC9F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3211AEB" w14:textId="514E695E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Mindfulness session ‘Loving kindness’ with Melissa Canavan</w:t>
            </w:r>
          </w:p>
        </w:tc>
      </w:tr>
      <w:tr w:rsidR="005A64CC" w:rsidRPr="00B5728C" w14:paraId="057830EB" w14:textId="77777777" w:rsidTr="001C664E">
        <w:trPr>
          <w:trHeight w:val="70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2C94CA5F" w14:textId="0E115F60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 xml:space="preserve">1945-2015 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63245FB3" w14:textId="7A6B1DB9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Drinks Reception (Gallery)</w:t>
            </w:r>
          </w:p>
        </w:tc>
      </w:tr>
      <w:tr w:rsidR="005A64CC" w:rsidRPr="00B5728C" w14:paraId="6111FDD9" w14:textId="77777777" w:rsidTr="001C664E">
        <w:trPr>
          <w:trHeight w:val="252"/>
          <w:jc w:val="center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6EF96782" w14:textId="77777777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2015</w:t>
            </w:r>
          </w:p>
        </w:tc>
        <w:tc>
          <w:tcPr>
            <w:tcW w:w="15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7104D2A5" w14:textId="0E13539B" w:rsidR="005A64CC" w:rsidRPr="00B5728C" w:rsidRDefault="005A64CC" w:rsidP="005A6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sz w:val="18"/>
                <w:szCs w:val="20"/>
                <w:lang w:eastAsia="en-GB"/>
              </w:rPr>
              <w:t>Conference Dinner PCRS-UK 1 (Ironbridge 1)</w:t>
            </w:r>
          </w:p>
        </w:tc>
      </w:tr>
    </w:tbl>
    <w:p w14:paraId="0A445C0E" w14:textId="77777777" w:rsidR="005F41C0" w:rsidRPr="00B5728C" w:rsidRDefault="005F41C0" w:rsidP="00C57D83">
      <w:pPr>
        <w:spacing w:after="0" w:line="240" w:lineRule="auto"/>
        <w:rPr>
          <w:rFonts w:ascii="Arial" w:hAnsi="Arial" w:cs="Arial"/>
          <w:sz w:val="20"/>
        </w:rPr>
        <w:sectPr w:rsidR="005F41C0" w:rsidRPr="00B5728C" w:rsidSect="00C57D83">
          <w:headerReference w:type="default" r:id="rId7"/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6205" w:type="dxa"/>
        <w:jc w:val="center"/>
        <w:tblLook w:val="04A0" w:firstRow="1" w:lastRow="0" w:firstColumn="1" w:lastColumn="0" w:noHBand="0" w:noVBand="1"/>
      </w:tblPr>
      <w:tblGrid>
        <w:gridCol w:w="773"/>
        <w:gridCol w:w="2204"/>
        <w:gridCol w:w="1985"/>
        <w:gridCol w:w="3118"/>
        <w:gridCol w:w="5387"/>
        <w:gridCol w:w="1559"/>
        <w:gridCol w:w="1179"/>
      </w:tblGrid>
      <w:tr w:rsidR="00C57D83" w:rsidRPr="00B5728C" w14:paraId="4E7F512E" w14:textId="77777777" w:rsidTr="00DC4004">
        <w:trPr>
          <w:trHeight w:val="247"/>
          <w:jc w:val="center"/>
        </w:trPr>
        <w:tc>
          <w:tcPr>
            <w:tcW w:w="162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8C3FFA" w14:textId="77777777" w:rsidR="00C57D83" w:rsidRPr="00B5728C" w:rsidRDefault="004859F6" w:rsidP="00C57D8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hAnsi="Arial" w:cs="Arial"/>
                <w:sz w:val="20"/>
              </w:rPr>
              <w:lastRenderedPageBreak/>
              <w:br w:type="page"/>
            </w:r>
            <w:r w:rsidR="00C57D83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Saturday 30 September 2017</w:t>
            </w:r>
          </w:p>
        </w:tc>
      </w:tr>
      <w:tr w:rsidR="005F3F3A" w:rsidRPr="00B5728C" w14:paraId="03D08438" w14:textId="77777777" w:rsidTr="00CB5E53">
        <w:trPr>
          <w:trHeight w:val="1444"/>
          <w:jc w:val="center"/>
        </w:trPr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55A3931" w14:textId="5538740C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502E28D3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CLINICAL SYMPOSIA</w:t>
            </w:r>
          </w:p>
          <w:p w14:paraId="15E102F8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Focused on getting the fundamentals of care right and looking beyond the consultation</w:t>
            </w:r>
          </w:p>
          <w:p w14:paraId="3C6E4255" w14:textId="743B8F2D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1 (Ironbridge 1)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48A504E7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SERVICE DEVELOPMENT</w:t>
            </w:r>
          </w:p>
          <w:p w14:paraId="7DB9EA7B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Featuring innovative case studies and examples; focusing on inspiring sustainable change</w:t>
            </w:r>
          </w:p>
          <w:p w14:paraId="7551C567" w14:textId="60656558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2 (Atcham Suite)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3BD5F2D0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RESEARCH SESSIONS</w:t>
            </w:r>
          </w:p>
          <w:p w14:paraId="19D0F2B3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Cutting edge, 'real world' research presentations</w:t>
            </w:r>
          </w:p>
          <w:p w14:paraId="7CDFCA13" w14:textId="7FFB8E65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in conjunction with </w:t>
            </w:r>
            <w:proofErr w:type="spellStart"/>
            <w:r w:rsidRPr="00B5728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  <w:lang w:eastAsia="en-GB"/>
              </w:rPr>
              <w:t>npj</w:t>
            </w:r>
            <w:proofErr w:type="spellEnd"/>
            <w:r w:rsidRPr="00B5728C">
              <w:rPr>
                <w:rFonts w:ascii="Arial" w:eastAsia="Times New Roman" w:hAnsi="Arial" w:cs="Arial"/>
                <w:bCs/>
                <w:i/>
                <w:color w:val="000000"/>
                <w:sz w:val="18"/>
                <w:szCs w:val="20"/>
                <w:lang w:eastAsia="en-GB"/>
              </w:rPr>
              <w:t xml:space="preserve"> Primary Care Respiratory Medicine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494D299C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PRACTICAL WORKSHOPS</w:t>
            </w:r>
          </w:p>
          <w:p w14:paraId="304216F8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Interactive, practical workshops</w:t>
            </w:r>
          </w:p>
          <w:p w14:paraId="0A2D382B" w14:textId="72780501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in conjunction with Education for Health, offering an opportunity to enhance key consultation and clinical respiratory skills</w:t>
            </w:r>
          </w:p>
        </w:tc>
      </w:tr>
      <w:tr w:rsidR="005F3F3A" w:rsidRPr="00B5728C" w14:paraId="4281A37A" w14:textId="77777777" w:rsidTr="00CB5E53">
        <w:trPr>
          <w:trHeight w:val="247"/>
          <w:jc w:val="center"/>
        </w:trPr>
        <w:tc>
          <w:tcPr>
            <w:tcW w:w="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06AA2FF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22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</w:tcPr>
          <w:p w14:paraId="75FBF4D0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</w:tcPr>
          <w:p w14:paraId="5DEBCA25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</w:tcPr>
          <w:p w14:paraId="15137A1F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Oral presentations</w:t>
            </w:r>
          </w:p>
          <w:p w14:paraId="39B6CD93" w14:textId="2740B575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3 (Wenlock Suite)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center"/>
          </w:tcPr>
          <w:p w14:paraId="14B986C9" w14:textId="77777777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  <w:t>Poster presentations</w:t>
            </w:r>
          </w:p>
          <w:p w14:paraId="34F95BF7" w14:textId="2C74848B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(Gallery)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5D49EB38" w14:textId="53ECD1E3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4 (</w:t>
            </w:r>
            <w:proofErr w:type="spellStart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Coalport</w:t>
            </w:r>
            <w:proofErr w:type="spellEnd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1)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</w:tcPr>
          <w:p w14:paraId="77D1B109" w14:textId="1B83D32C" w:rsidR="005F3F3A" w:rsidRPr="00B5728C" w:rsidRDefault="005F3F3A" w:rsidP="005F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PCRS-UK 4 (</w:t>
            </w:r>
            <w:proofErr w:type="spellStart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Coalport</w:t>
            </w:r>
            <w:proofErr w:type="spellEnd"/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 xml:space="preserve"> 2)</w:t>
            </w:r>
          </w:p>
        </w:tc>
      </w:tr>
      <w:tr w:rsidR="00D26273" w:rsidRPr="00B5728C" w14:paraId="0DAE3BCD" w14:textId="77777777" w:rsidTr="00CB5E53">
        <w:trPr>
          <w:trHeight w:val="4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F31D522" w14:textId="2F720498" w:rsidR="00D26273" w:rsidRPr="00B5728C" w:rsidRDefault="00353504" w:rsidP="00D2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0745-0845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381A74F" w14:textId="1AF1E05E" w:rsidR="00D26273" w:rsidRPr="00B5728C" w:rsidRDefault="00D26273" w:rsidP="00D2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618B1B0" w14:textId="4D42DF94" w:rsidR="00D26273" w:rsidRPr="00B5728C" w:rsidRDefault="007647CA" w:rsidP="007647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PCRS-UK AGM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C656386" w14:textId="33208A06" w:rsidR="00D26273" w:rsidRPr="00B5728C" w:rsidRDefault="00D26273" w:rsidP="00D262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A7DECF" w14:textId="6931B603" w:rsidR="00D26273" w:rsidRPr="00B5728C" w:rsidRDefault="00D26273" w:rsidP="00D2627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E39E4DB" w14:textId="69F2C584" w:rsidR="00D26273" w:rsidRPr="00B5728C" w:rsidRDefault="007647CA" w:rsidP="00D2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en-GB"/>
              </w:rPr>
              <w:t>0745-0830 Singing for Lung Health - a practical session by Phoene Cave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1AFD979E" w14:textId="392BAECE" w:rsidR="00D26273" w:rsidRPr="00B5728C" w:rsidRDefault="00D26273" w:rsidP="00D2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353504" w:rsidRPr="00B5728C" w14:paraId="1FA0C8C3" w14:textId="77777777" w:rsidTr="00CB5E53">
        <w:trPr>
          <w:trHeight w:val="458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8BDBD8" w14:textId="5FE2806E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0900-0945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0F65DA39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Breathlessness: whose patient is it?</w:t>
            </w:r>
          </w:p>
          <w:p w14:paraId="51718383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Dayo Kuku</w:t>
            </w:r>
          </w:p>
          <w:p w14:paraId="4A7DB1BA" w14:textId="3BA89F73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Speaker: Rachael Evans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48C00C91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The obesity epidemic and respiratory services</w:t>
            </w:r>
          </w:p>
          <w:p w14:paraId="0AAEF8D6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Clare Cook</w:t>
            </w:r>
          </w:p>
          <w:p w14:paraId="758CDB44" w14:textId="59F681CD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1) Obesity and the lung: What service does the patient need from the community based team and general </w:t>
            </w:r>
            <w:r w:rsidR="003637A6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practice?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Nick Hart</w:t>
            </w:r>
          </w:p>
          <w:p w14:paraId="5318189E" w14:textId="459C3745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2) Primary care delivery of an OSA service, Tahmina Siddiqui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1AA2CCBE" w14:textId="745314E0" w:rsidR="00B5728C" w:rsidRPr="00B5728C" w:rsidRDefault="00C11E77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C11E77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Best practice: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Developing integrated care pathways</w:t>
            </w:r>
          </w:p>
          <w:p w14:paraId="0E066E5A" w14:textId="60F83243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Co-chairs: Helen Ward</w:t>
            </w:r>
            <w:r w:rsid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and Stuart Berry</w:t>
            </w:r>
          </w:p>
          <w:p w14:paraId="729549FF" w14:textId="27C43622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BP2. Does applying, PDSA cycles improve reported patients’ outcomes in a federated model of primary care for COPD patients? - Louise Lomas</w:t>
            </w:r>
          </w:p>
          <w:p w14:paraId="6444A595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BP23. Is integrated pulmonary and heart failure rehabilitation effective and safe in primary care? Alex Woodward</w:t>
            </w:r>
          </w:p>
          <w:p w14:paraId="38913F56" w14:textId="77777777" w:rsidR="00B5728C" w:rsidRPr="001C664E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BP32. Patient utilisation of an acute COPD exacerbation hotline prior to admission - Vincent Mak</w:t>
            </w:r>
          </w:p>
          <w:p w14:paraId="5E755364" w14:textId="3737A9E6" w:rsidR="007647CA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1C664E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BP17. DART Respiratory Disease Programme for Darlington ‘A catalyst for change’ - Claire Adams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A995F2" w14:textId="47070FE7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Original research: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COPD and interstitial lung disease</w:t>
            </w:r>
          </w:p>
          <w:p w14:paraId="74366EE2" w14:textId="690EC6C9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Co-chairs: Daryl Freeman</w:t>
            </w:r>
          </w:p>
          <w:p w14:paraId="5FEA366F" w14:textId="6748C744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S23. Use of soft mist inhalers vs. dry powder inhalers in patients with COPD: a CPRD study - Alicia Gayle</w:t>
            </w:r>
          </w:p>
          <w:p w14:paraId="37373224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S30. The lay health worker-patient partnership promoting PR in COPD: the role of shared experience. - Patrick White</w:t>
            </w:r>
          </w:p>
          <w:p w14:paraId="5B8B658B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S5. Patient and Public Involvement (PPI) in TANDEM: A Tailored intervention for </w:t>
            </w:r>
            <w:proofErr w:type="spellStart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ANxiety</w:t>
            </w:r>
            <w:proofErr w:type="spellEnd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and </w:t>
            </w:r>
            <w:proofErr w:type="spellStart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DEpression</w:t>
            </w:r>
            <w:proofErr w:type="spellEnd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Management in COPD - Stephanie Taylor</w:t>
            </w:r>
          </w:p>
          <w:p w14:paraId="0DC376DE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S40. Development of the TANDEM intervention for Chronic Obstructive Pulmonary Disease including pre-pilot phase - Karen Heslop-Marshall</w:t>
            </w:r>
          </w:p>
          <w:p w14:paraId="1EB3CF4F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S10. Efficacy of </w:t>
            </w:r>
            <w:proofErr w:type="spellStart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Trimbow</w:t>
            </w:r>
            <w:proofErr w:type="spellEnd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®, A Novel Triple </w:t>
            </w:r>
            <w:proofErr w:type="spellStart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Extrafine</w:t>
            </w:r>
            <w:proofErr w:type="spellEnd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Combination Treatment in COPD Patients at High Risk of Exacerbations: A Sub-Group Analysis of the TRINITY Study - Mario </w:t>
            </w:r>
            <w:proofErr w:type="spellStart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Scuri</w:t>
            </w:r>
            <w:proofErr w:type="spellEnd"/>
          </w:p>
          <w:p w14:paraId="7324C710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S18. Barriers and enablers for primary health care practitioners when referring patients with Chronic Obstructive Pulmonary Disease to Pulmonary Rehabilitation: a qualitative study. - Jane Young</w:t>
            </w:r>
          </w:p>
          <w:p w14:paraId="64F5A7F2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S41. Rhythm &amp; song: Breath management in Idiopathic Interstitial Pneumonias (IIP’s). Pilot Study - Phoene Cave</w:t>
            </w:r>
          </w:p>
          <w:p w14:paraId="560D160B" w14:textId="3F38E7EC" w:rsidR="007647CA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S39. The development and implementation of a personal health organiser for patients diagnosed with Idiopathic Pulmonary Fibrosis (IPF): A Pilot Study - Ashley Green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C0091D3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Simplifying spirometry interpretation*</w:t>
            </w:r>
          </w:p>
          <w:p w14:paraId="5CE71648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Chris Ennor</w:t>
            </w:r>
          </w:p>
          <w:p w14:paraId="4F13815B" w14:textId="4995B03D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Facilitator: Chris Loveridge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6B2B0AFF" w14:textId="715ACD6B" w:rsidR="00353504" w:rsidRPr="00B5728C" w:rsidRDefault="007647CA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FeNO t</w:t>
            </w:r>
            <w:r w:rsidR="00353504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esting: are you ready for it?</w:t>
            </w:r>
          </w:p>
          <w:p w14:paraId="6D51CDE6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Vikki Knowles</w:t>
            </w:r>
          </w:p>
          <w:p w14:paraId="3A566656" w14:textId="1380680E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Facilitator: Carol Stonham</w:t>
            </w:r>
          </w:p>
        </w:tc>
      </w:tr>
      <w:tr w:rsidR="00353504" w:rsidRPr="00B5728C" w14:paraId="0FAF16C7" w14:textId="77777777" w:rsidTr="00DC4004">
        <w:trPr>
          <w:trHeight w:val="2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38F22C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0945-1030</w:t>
            </w:r>
          </w:p>
        </w:tc>
        <w:tc>
          <w:tcPr>
            <w:tcW w:w="15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6664E6" w14:textId="77777777" w:rsidR="00353504" w:rsidRPr="00B5728C" w:rsidRDefault="007647CA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The Holistic Management of Respiratory Symptoms: A Tale of Two Mothers </w:t>
            </w:r>
            <w:r w:rsidR="00353504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(Boehringer Ingelheim sponsored symposium)</w:t>
            </w:r>
          </w:p>
          <w:p w14:paraId="479CE108" w14:textId="77777777" w:rsidR="007647CA" w:rsidRPr="00B5728C" w:rsidRDefault="005F3F3A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Chair: Sandy Walmsley                    </w:t>
            </w:r>
            <w:r w:rsidR="007647CA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Speakers: Jon Miles and Gail Miles</w:t>
            </w:r>
          </w:p>
          <w:p w14:paraId="53AF85DB" w14:textId="2E7D7C3F" w:rsidR="005F3F3A" w:rsidRPr="00B5728C" w:rsidRDefault="005F3F3A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en-GB"/>
              </w:rPr>
              <w:t>This symposium has been developed in conjunction with PCRS-UK to ensure it complements the main programme</w:t>
            </w:r>
          </w:p>
        </w:tc>
      </w:tr>
      <w:tr w:rsidR="00353504" w:rsidRPr="00B5728C" w14:paraId="32C820F8" w14:textId="77777777" w:rsidTr="00DC4004">
        <w:trPr>
          <w:trHeight w:val="2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B097934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1030-1115</w:t>
            </w:r>
          </w:p>
        </w:tc>
        <w:tc>
          <w:tcPr>
            <w:tcW w:w="15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57BA079" w14:textId="00D21F4C" w:rsidR="00353504" w:rsidRPr="00B5728C" w:rsidRDefault="007647CA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Refreshments and exhibition PCRS-UK 5 (Ironbridge 2 and 3)</w:t>
            </w:r>
          </w:p>
        </w:tc>
      </w:tr>
      <w:tr w:rsidR="00353504" w:rsidRPr="00B5728C" w14:paraId="2602B79B" w14:textId="77777777" w:rsidTr="00CB5E53">
        <w:trPr>
          <w:trHeight w:val="6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A589DC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1115-1200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3A68680" w14:textId="76468DD4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How sick is the child? Croup, bronchiolitis and </w:t>
            </w:r>
            <w:r w:rsidR="00313634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p</w:t>
            </w: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aediatric respiratory infections - when to refer</w:t>
            </w:r>
          </w:p>
          <w:p w14:paraId="0682C494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Duncan Keeley</w:t>
            </w:r>
          </w:p>
          <w:p w14:paraId="61BC20B4" w14:textId="40249C34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Speaker: Andrew Bush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93F8969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Learning from the National COPD Audit</w:t>
            </w:r>
          </w:p>
          <w:p w14:paraId="658749D3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Melissa Canavan</w:t>
            </w:r>
          </w:p>
          <w:p w14:paraId="122804D6" w14:textId="2707B374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1) Working towards the ideal COPD value 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 xml:space="preserve">pyramid: allocating resources across a Local Health Board, Rebecca Richards and Patrick </w:t>
            </w:r>
            <w:proofErr w:type="spellStart"/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FloodPage</w:t>
            </w:r>
            <w:proofErr w:type="spellEnd"/>
          </w:p>
          <w:p w14:paraId="244E4FC6" w14:textId="2BEAB0CE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2) Quality Improvement in Wales - better diagnosis, better access to high value care for COPD, Simon Barry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372647" w14:textId="76E77E11" w:rsidR="00B5728C" w:rsidRPr="00B5728C" w:rsidRDefault="002B1064" w:rsidP="00B5728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2B1064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Original research:</w:t>
            </w:r>
            <w:r w:rsidRPr="002B1064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B5728C"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Implementation of asthma self-management</w:t>
            </w:r>
          </w:p>
          <w:p w14:paraId="600C5620" w14:textId="36E24B6D" w:rsid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Co-chairs: Shauna McKibben and Patrick White</w:t>
            </w:r>
          </w:p>
          <w:p w14:paraId="45C43408" w14:textId="5450EEB4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S29. Implementing improved asthma self-management as routine treatment (IMP2ART): Exploring patient and carer perspectives - Luke Daines</w:t>
            </w:r>
          </w:p>
          <w:p w14:paraId="130CE044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lastRenderedPageBreak/>
              <w:t>S16. Educating professionals to implement supported self-management: a systematic review from the IMP2ART programme - Hilary Pinnock</w:t>
            </w:r>
          </w:p>
          <w:p w14:paraId="70043D82" w14:textId="77777777" w:rsidR="00B5728C" w:rsidRPr="00CB5E53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S15. </w:t>
            </w:r>
            <w:proofErr w:type="spellStart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IMPlementing</w:t>
            </w:r>
            <w:proofErr w:type="spellEnd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</w:t>
            </w:r>
            <w:proofErr w:type="spellStart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IMProved</w:t>
            </w:r>
            <w:proofErr w:type="spellEnd"/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 xml:space="preserve"> Asthma self-management as Routine Treatment (IMP2ART): Exploring the perspective of clinical professionals and managers. - Hilary Pinnock</w:t>
            </w:r>
          </w:p>
          <w:p w14:paraId="6B572416" w14:textId="6DB895E4" w:rsidR="00313634" w:rsidRPr="00B5728C" w:rsidRDefault="00B5728C" w:rsidP="00B572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CB5E53">
              <w:rPr>
                <w:rFonts w:ascii="Arial" w:eastAsia="Times New Roman" w:hAnsi="Arial" w:cs="Arial"/>
                <w:color w:val="000000"/>
                <w:sz w:val="16"/>
                <w:szCs w:val="20"/>
                <w:lang w:eastAsia="en-GB"/>
              </w:rPr>
              <w:t>S21. Professional and staff perceptions of financial incentives promoting implementation of asthma self-management: a qualitative study in Northern Ireland primary care practices - Tracy Jackson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91052F0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24A66E0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Pulmonary rehabilitation: let's all do it*</w:t>
            </w:r>
          </w:p>
          <w:p w14:paraId="0B59873B" w14:textId="04F13483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Co-facilitators: Kelly Redden-Rowley and Sally King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4A58C79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Inhaler technique: check yours*</w:t>
            </w:r>
          </w:p>
          <w:p w14:paraId="5E0AAD9C" w14:textId="77777777" w:rsidR="00353504" w:rsidRPr="00B5728C" w:rsidRDefault="003535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Chair: Val Gerrard</w:t>
            </w:r>
          </w:p>
          <w:p w14:paraId="5AB32797" w14:textId="17ECFAE7" w:rsidR="00353504" w:rsidRPr="00B5728C" w:rsidRDefault="00353504" w:rsidP="00DC40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Facilitator​​: Anna Murphy</w:t>
            </w:r>
          </w:p>
        </w:tc>
      </w:tr>
      <w:tr w:rsidR="00353504" w:rsidRPr="00B5728C" w14:paraId="28914436" w14:textId="77777777" w:rsidTr="00DC4004">
        <w:trPr>
          <w:trHeight w:val="2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514A706D" w14:textId="2B2876A2" w:rsidR="00353504" w:rsidRPr="00B5728C" w:rsidRDefault="00DC40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1200-1300</w:t>
            </w:r>
          </w:p>
        </w:tc>
        <w:tc>
          <w:tcPr>
            <w:tcW w:w="15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23A2688A" w14:textId="42713CA2" w:rsidR="00353504" w:rsidRPr="00B5728C" w:rsidRDefault="00313634" w:rsidP="007D03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Grand Round: misdiagnosis, missed diagnosis and missed opportunities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(case based presentations)</w:t>
            </w:r>
            <w:r w:rsidR="003637A6"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br/>
              <w:t>Chair: Iain Small, Facilitators: James Chalmers and Matthew Smith</w:t>
            </w:r>
          </w:p>
        </w:tc>
      </w:tr>
      <w:tr w:rsidR="00313634" w:rsidRPr="00B5728C" w14:paraId="26E1B6F3" w14:textId="77777777" w:rsidTr="00DC4004">
        <w:trPr>
          <w:trHeight w:val="2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747FB99C" w14:textId="4A5BE9A3" w:rsidR="00313634" w:rsidRPr="00B5728C" w:rsidRDefault="00DC4004" w:rsidP="0035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1300-1315</w:t>
            </w:r>
          </w:p>
        </w:tc>
        <w:tc>
          <w:tcPr>
            <w:tcW w:w="15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63008B02" w14:textId="2B9E5D3A" w:rsidR="00313634" w:rsidRPr="00B5728C" w:rsidRDefault="00313634" w:rsidP="003136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>The best of primary care respiratory research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presentation of the </w:t>
            </w:r>
            <w:proofErr w:type="spellStart"/>
            <w:r w:rsidRPr="00B5728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>npj</w:t>
            </w:r>
            <w:proofErr w:type="spellEnd"/>
            <w:r w:rsidRPr="00B5728C">
              <w:rPr>
                <w:rFonts w:ascii="Arial" w:eastAsia="Times New Roman" w:hAnsi="Arial" w:cs="Arial"/>
                <w:i/>
                <w:color w:val="000000"/>
                <w:sz w:val="18"/>
                <w:szCs w:val="20"/>
                <w:lang w:eastAsia="en-GB"/>
              </w:rPr>
              <w:t xml:space="preserve"> Primary Care Respiratory Medicine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winning abstract</w:t>
            </w:r>
          </w:p>
        </w:tc>
      </w:tr>
      <w:tr w:rsidR="00313634" w:rsidRPr="00B5728C" w14:paraId="2A4BBA6E" w14:textId="77777777" w:rsidTr="00DC4004">
        <w:trPr>
          <w:trHeight w:val="247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026A8CD7" w14:textId="143B10F8" w:rsidR="00313634" w:rsidRPr="00B5728C" w:rsidRDefault="00DC4004" w:rsidP="003637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1315-1330</w:t>
            </w:r>
          </w:p>
        </w:tc>
        <w:tc>
          <w:tcPr>
            <w:tcW w:w="15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4CA9D48B" w14:textId="078E0EDB" w:rsidR="00313634" w:rsidRPr="00B5728C" w:rsidRDefault="00313634" w:rsidP="003136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B5728C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  <w:t xml:space="preserve">Inspiring lifelong change </w:t>
            </w:r>
            <w:r w:rsidRPr="00B5728C"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concluding remarks from the PCRS-UK Chair</w:t>
            </w:r>
          </w:p>
        </w:tc>
      </w:tr>
    </w:tbl>
    <w:p w14:paraId="6621B485" w14:textId="77777777" w:rsidR="00BF3695" w:rsidRPr="00B5728C" w:rsidRDefault="00BF3695" w:rsidP="00085F42">
      <w:pPr>
        <w:rPr>
          <w:rFonts w:ascii="Arial" w:hAnsi="Arial" w:cs="Arial"/>
          <w:sz w:val="20"/>
        </w:rPr>
      </w:pPr>
    </w:p>
    <w:p w14:paraId="2EE17AA6" w14:textId="5339CE79" w:rsidR="008D381F" w:rsidRPr="004870A1" w:rsidRDefault="008D381F" w:rsidP="00085F42">
      <w:pPr>
        <w:rPr>
          <w:rFonts w:ascii="Arial" w:hAnsi="Arial" w:cs="Arial"/>
          <w:sz w:val="20"/>
        </w:rPr>
      </w:pPr>
      <w:r w:rsidRPr="00B5728C">
        <w:rPr>
          <w:rFonts w:ascii="Arial" w:hAnsi="Arial" w:cs="Arial"/>
          <w:sz w:val="20"/>
        </w:rPr>
        <w:t>*sessions repeated twice on programme</w:t>
      </w:r>
    </w:p>
    <w:sectPr w:rsidR="008D381F" w:rsidRPr="004870A1" w:rsidSect="00C57D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AA833" w14:textId="77777777" w:rsidR="00C032EC" w:rsidRDefault="00C032EC" w:rsidP="00C57D83">
      <w:pPr>
        <w:spacing w:after="0" w:line="240" w:lineRule="auto"/>
      </w:pPr>
      <w:r>
        <w:separator/>
      </w:r>
    </w:p>
  </w:endnote>
  <w:endnote w:type="continuationSeparator" w:id="0">
    <w:p w14:paraId="1184C56B" w14:textId="77777777" w:rsidR="00C032EC" w:rsidRDefault="00C032EC" w:rsidP="00C5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4FC4" w14:textId="77777777" w:rsidR="001D7658" w:rsidRPr="00701BB0" w:rsidRDefault="007B3013" w:rsidP="001D7658">
    <w:pPr>
      <w:pStyle w:val="Footer"/>
      <w:jc w:val="center"/>
      <w:rPr>
        <w:rFonts w:ascii="Arial" w:hAnsi="Arial" w:cs="Arial"/>
        <w:b/>
        <w:color w:val="44546A" w:themeColor="text2"/>
        <w:sz w:val="20"/>
      </w:rPr>
    </w:pPr>
    <w:r w:rsidRPr="00701BB0">
      <w:rPr>
        <w:rFonts w:ascii="Arial" w:hAnsi="Arial" w:cs="Arial"/>
        <w:b/>
        <w:color w:val="44546A" w:themeColor="text2"/>
        <w:sz w:val="20"/>
      </w:rPr>
      <w:t>PCRS-UK reserves the right to change the conference programme without notice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AEEAA" w14:textId="77777777" w:rsidR="00C032EC" w:rsidRDefault="00C032EC" w:rsidP="00C57D83">
      <w:pPr>
        <w:spacing w:after="0" w:line="240" w:lineRule="auto"/>
      </w:pPr>
      <w:r>
        <w:separator/>
      </w:r>
    </w:p>
  </w:footnote>
  <w:footnote w:type="continuationSeparator" w:id="0">
    <w:p w14:paraId="0F959FEF" w14:textId="77777777" w:rsidR="00C032EC" w:rsidRDefault="00C032EC" w:rsidP="00C57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549C" w14:textId="2DC3210C" w:rsidR="00085F42" w:rsidRPr="00710D76" w:rsidRDefault="00710D76" w:rsidP="00710D76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1D7999C" wp14:editId="3F9A231E">
          <wp:extent cx="8134350" cy="209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475" t="6061" r="8332" b="90128"/>
                  <a:stretch/>
                </pic:blipFill>
                <pic:spPr bwMode="auto">
                  <a:xfrm>
                    <a:off x="0" y="0"/>
                    <a:ext cx="8134350" cy="209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3"/>
    <w:rsid w:val="00004D81"/>
    <w:rsid w:val="00066780"/>
    <w:rsid w:val="00085F42"/>
    <w:rsid w:val="000E74C0"/>
    <w:rsid w:val="0010221E"/>
    <w:rsid w:val="00110080"/>
    <w:rsid w:val="00141475"/>
    <w:rsid w:val="0015025C"/>
    <w:rsid w:val="0016006F"/>
    <w:rsid w:val="001C664E"/>
    <w:rsid w:val="001D7658"/>
    <w:rsid w:val="00212652"/>
    <w:rsid w:val="00224F57"/>
    <w:rsid w:val="00237F3C"/>
    <w:rsid w:val="002537D2"/>
    <w:rsid w:val="002559A8"/>
    <w:rsid w:val="00291925"/>
    <w:rsid w:val="002930D0"/>
    <w:rsid w:val="002B1064"/>
    <w:rsid w:val="002B1659"/>
    <w:rsid w:val="002B5B34"/>
    <w:rsid w:val="002D65CF"/>
    <w:rsid w:val="00313634"/>
    <w:rsid w:val="00353504"/>
    <w:rsid w:val="003637A6"/>
    <w:rsid w:val="0039531A"/>
    <w:rsid w:val="003E11A6"/>
    <w:rsid w:val="0040569A"/>
    <w:rsid w:val="00410EEC"/>
    <w:rsid w:val="00421195"/>
    <w:rsid w:val="00435FAE"/>
    <w:rsid w:val="00464045"/>
    <w:rsid w:val="00471296"/>
    <w:rsid w:val="004733EB"/>
    <w:rsid w:val="004859F1"/>
    <w:rsid w:val="004859F6"/>
    <w:rsid w:val="004870A1"/>
    <w:rsid w:val="00497CCC"/>
    <w:rsid w:val="004A52D7"/>
    <w:rsid w:val="004D5AF9"/>
    <w:rsid w:val="004D5D45"/>
    <w:rsid w:val="00531BAD"/>
    <w:rsid w:val="00545DFC"/>
    <w:rsid w:val="00551FFF"/>
    <w:rsid w:val="005872DE"/>
    <w:rsid w:val="005A64CC"/>
    <w:rsid w:val="005B6BF0"/>
    <w:rsid w:val="005D60E5"/>
    <w:rsid w:val="005F3F3A"/>
    <w:rsid w:val="005F41C0"/>
    <w:rsid w:val="00607B38"/>
    <w:rsid w:val="006229CA"/>
    <w:rsid w:val="00624876"/>
    <w:rsid w:val="00625E54"/>
    <w:rsid w:val="00634916"/>
    <w:rsid w:val="00661E9F"/>
    <w:rsid w:val="006655E9"/>
    <w:rsid w:val="0067518F"/>
    <w:rsid w:val="00691F8C"/>
    <w:rsid w:val="006970DC"/>
    <w:rsid w:val="006D0D5E"/>
    <w:rsid w:val="006F1E9F"/>
    <w:rsid w:val="00701BB0"/>
    <w:rsid w:val="00706242"/>
    <w:rsid w:val="00710D76"/>
    <w:rsid w:val="00752246"/>
    <w:rsid w:val="00763166"/>
    <w:rsid w:val="007647CA"/>
    <w:rsid w:val="00770BAA"/>
    <w:rsid w:val="00792EF6"/>
    <w:rsid w:val="00795DE8"/>
    <w:rsid w:val="007B3013"/>
    <w:rsid w:val="007D0379"/>
    <w:rsid w:val="007D746D"/>
    <w:rsid w:val="00831885"/>
    <w:rsid w:val="008B17F7"/>
    <w:rsid w:val="008D381F"/>
    <w:rsid w:val="008D3E7D"/>
    <w:rsid w:val="008D66ED"/>
    <w:rsid w:val="008E63FA"/>
    <w:rsid w:val="008F2792"/>
    <w:rsid w:val="009260B5"/>
    <w:rsid w:val="00951491"/>
    <w:rsid w:val="00955A4B"/>
    <w:rsid w:val="0097019A"/>
    <w:rsid w:val="009919A7"/>
    <w:rsid w:val="009A27A0"/>
    <w:rsid w:val="009C1EF4"/>
    <w:rsid w:val="009D3EAB"/>
    <w:rsid w:val="009D7F28"/>
    <w:rsid w:val="00A2352B"/>
    <w:rsid w:val="00A240DA"/>
    <w:rsid w:val="00A91B5D"/>
    <w:rsid w:val="00AD397F"/>
    <w:rsid w:val="00AF1895"/>
    <w:rsid w:val="00AF4DBC"/>
    <w:rsid w:val="00B151FC"/>
    <w:rsid w:val="00B27457"/>
    <w:rsid w:val="00B329E9"/>
    <w:rsid w:val="00B53A5B"/>
    <w:rsid w:val="00B5728C"/>
    <w:rsid w:val="00B77296"/>
    <w:rsid w:val="00BC2DCA"/>
    <w:rsid w:val="00BC3A43"/>
    <w:rsid w:val="00BC6CFE"/>
    <w:rsid w:val="00BE3212"/>
    <w:rsid w:val="00BF02E0"/>
    <w:rsid w:val="00BF3695"/>
    <w:rsid w:val="00C032EC"/>
    <w:rsid w:val="00C056F3"/>
    <w:rsid w:val="00C0696E"/>
    <w:rsid w:val="00C11E77"/>
    <w:rsid w:val="00C534A6"/>
    <w:rsid w:val="00C57D83"/>
    <w:rsid w:val="00C67464"/>
    <w:rsid w:val="00C92A82"/>
    <w:rsid w:val="00C967D7"/>
    <w:rsid w:val="00CA2B78"/>
    <w:rsid w:val="00CB1689"/>
    <w:rsid w:val="00CB5DEF"/>
    <w:rsid w:val="00CB5E53"/>
    <w:rsid w:val="00CD0C0E"/>
    <w:rsid w:val="00D06D6B"/>
    <w:rsid w:val="00D26273"/>
    <w:rsid w:val="00D30B72"/>
    <w:rsid w:val="00D54D7F"/>
    <w:rsid w:val="00D64867"/>
    <w:rsid w:val="00DB4B28"/>
    <w:rsid w:val="00DC4004"/>
    <w:rsid w:val="00DE02D9"/>
    <w:rsid w:val="00DF5D63"/>
    <w:rsid w:val="00E53584"/>
    <w:rsid w:val="00E830E8"/>
    <w:rsid w:val="00ED7E35"/>
    <w:rsid w:val="00F528D4"/>
    <w:rsid w:val="00F65D79"/>
    <w:rsid w:val="00F852DF"/>
    <w:rsid w:val="00FB0D77"/>
    <w:rsid w:val="00FE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55D99BD7"/>
  <w15:docId w15:val="{B308BCAA-60CB-41C5-82C4-7555978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D83"/>
  </w:style>
  <w:style w:type="paragraph" w:styleId="Footer">
    <w:name w:val="footer"/>
    <w:basedOn w:val="Normal"/>
    <w:link w:val="FooterChar"/>
    <w:uiPriority w:val="99"/>
    <w:unhideWhenUsed/>
    <w:rsid w:val="00C57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D83"/>
  </w:style>
  <w:style w:type="paragraph" w:styleId="BalloonText">
    <w:name w:val="Balloon Text"/>
    <w:basedOn w:val="Normal"/>
    <w:link w:val="BalloonTextChar"/>
    <w:uiPriority w:val="99"/>
    <w:semiHidden/>
    <w:unhideWhenUsed/>
    <w:rsid w:val="00831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6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74734-E6B1-4CF3-8A56-FC3AAF77C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6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PCRS-UK</Company>
  <LinksUpToDate>false</LinksUpToDate>
  <CharactersWithSpaces>17992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Williams</dc:creator>
  <cp:lastModifiedBy>Laurie Williams</cp:lastModifiedBy>
  <cp:revision>17</cp:revision>
  <cp:lastPrinted>2017-09-25T08:47:00Z</cp:lastPrinted>
  <dcterms:created xsi:type="dcterms:W3CDTF">2017-09-04T10:24:00Z</dcterms:created>
  <dcterms:modified xsi:type="dcterms:W3CDTF">2017-09-25T08:48:00Z</dcterms:modified>
</cp:coreProperties>
</file>